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9ED222" w14:textId="77777777" w:rsidR="005457CC" w:rsidRDefault="005457CC" w:rsidP="005457CC">
      <w:pPr>
        <w:jc w:val="center"/>
        <w:rPr>
          <w:b/>
          <w:bCs/>
          <w:lang w:val="en-US"/>
        </w:rPr>
      </w:pPr>
      <w:bookmarkStart w:id="0" w:name="_GoBack"/>
      <w:bookmarkEnd w:id="0"/>
    </w:p>
    <w:p w14:paraId="38A153BC" w14:textId="77777777" w:rsidR="005457CC" w:rsidRDefault="005457CC" w:rsidP="005457CC">
      <w:pPr>
        <w:jc w:val="center"/>
        <w:rPr>
          <w:b/>
          <w:bCs/>
          <w:lang w:val="en-US"/>
        </w:rPr>
      </w:pPr>
    </w:p>
    <w:p w14:paraId="0E86611D" w14:textId="77777777" w:rsidR="005457CC" w:rsidRDefault="005457CC" w:rsidP="005457CC">
      <w:pPr>
        <w:jc w:val="center"/>
        <w:rPr>
          <w:b/>
          <w:bCs/>
          <w:lang w:val="en-US"/>
        </w:rPr>
      </w:pPr>
    </w:p>
    <w:p w14:paraId="74CC8242" w14:textId="77777777" w:rsidR="005457CC" w:rsidRDefault="005457CC" w:rsidP="005457CC">
      <w:pPr>
        <w:jc w:val="center"/>
        <w:rPr>
          <w:b/>
          <w:bCs/>
          <w:lang w:val="en-US"/>
        </w:rPr>
      </w:pPr>
    </w:p>
    <w:p w14:paraId="05642C7F" w14:textId="77777777" w:rsidR="005457CC" w:rsidRDefault="005457CC" w:rsidP="005457CC">
      <w:pPr>
        <w:jc w:val="center"/>
        <w:rPr>
          <w:b/>
          <w:bCs/>
          <w:lang w:val="en-US"/>
        </w:rPr>
      </w:pPr>
    </w:p>
    <w:p w14:paraId="3261533F" w14:textId="77777777" w:rsidR="005457CC" w:rsidRDefault="005457CC" w:rsidP="005457CC">
      <w:pPr>
        <w:jc w:val="center"/>
        <w:rPr>
          <w:b/>
          <w:bCs/>
          <w:lang w:val="en-US"/>
        </w:rPr>
      </w:pPr>
    </w:p>
    <w:p w14:paraId="1716FC6F" w14:textId="77777777" w:rsidR="005457CC" w:rsidRDefault="005457CC" w:rsidP="005457CC">
      <w:pPr>
        <w:jc w:val="center"/>
        <w:rPr>
          <w:b/>
          <w:bCs/>
          <w:lang w:val="en-US"/>
        </w:rPr>
      </w:pPr>
    </w:p>
    <w:p w14:paraId="6F522712" w14:textId="77777777" w:rsidR="005457CC" w:rsidRDefault="005457CC" w:rsidP="005457CC">
      <w:pPr>
        <w:jc w:val="center"/>
        <w:rPr>
          <w:b/>
          <w:bCs/>
          <w:lang w:val="en-US"/>
        </w:rPr>
      </w:pPr>
    </w:p>
    <w:p w14:paraId="67D47EF7" w14:textId="77777777" w:rsidR="005457CC" w:rsidRDefault="005457CC" w:rsidP="005457CC">
      <w:pPr>
        <w:jc w:val="center"/>
        <w:rPr>
          <w:b/>
          <w:bCs/>
          <w:lang w:val="en-US"/>
        </w:rPr>
      </w:pPr>
    </w:p>
    <w:p w14:paraId="4C32C67A" w14:textId="77777777" w:rsidR="005457CC" w:rsidRDefault="005457CC" w:rsidP="005457CC">
      <w:pPr>
        <w:jc w:val="center"/>
        <w:rPr>
          <w:b/>
          <w:bCs/>
          <w:lang w:val="en-US"/>
        </w:rPr>
      </w:pPr>
    </w:p>
    <w:p w14:paraId="20375286" w14:textId="77777777" w:rsidR="005457CC" w:rsidRDefault="005457CC" w:rsidP="005457CC">
      <w:pPr>
        <w:jc w:val="center"/>
        <w:rPr>
          <w:b/>
          <w:bCs/>
          <w:lang w:val="en-US"/>
        </w:rPr>
      </w:pPr>
    </w:p>
    <w:p w14:paraId="269623D5" w14:textId="77777777" w:rsidR="005457CC" w:rsidRDefault="005457CC" w:rsidP="005457CC">
      <w:pPr>
        <w:jc w:val="center"/>
        <w:rPr>
          <w:b/>
          <w:bCs/>
          <w:lang w:val="en-US"/>
        </w:rPr>
      </w:pPr>
    </w:p>
    <w:p w14:paraId="5CE28975" w14:textId="77777777" w:rsidR="005457CC" w:rsidRDefault="005457CC" w:rsidP="005457CC">
      <w:pPr>
        <w:jc w:val="center"/>
        <w:rPr>
          <w:b/>
          <w:bCs/>
          <w:lang w:val="en-US"/>
        </w:rPr>
      </w:pPr>
    </w:p>
    <w:p w14:paraId="6004DAD9" w14:textId="77777777" w:rsidR="005457CC" w:rsidRDefault="005457CC" w:rsidP="005457CC">
      <w:pPr>
        <w:jc w:val="center"/>
        <w:rPr>
          <w:b/>
          <w:bCs/>
          <w:lang w:val="en-US"/>
        </w:rPr>
      </w:pPr>
    </w:p>
    <w:p w14:paraId="176FFB4D" w14:textId="79C04430" w:rsidR="00C27B62" w:rsidRPr="005457CC" w:rsidRDefault="004B782B" w:rsidP="005457CC">
      <w:pPr>
        <w:jc w:val="center"/>
        <w:rPr>
          <w:lang w:val="en-US"/>
        </w:rPr>
      </w:pPr>
      <w:r w:rsidRPr="005457CC">
        <w:rPr>
          <w:lang w:val="en-US"/>
        </w:rPr>
        <w:t>Vicarious Trauma and Post-Traumatic Stress Disorder</w:t>
      </w:r>
    </w:p>
    <w:p w14:paraId="54500198" w14:textId="54F3C239" w:rsidR="005457CC" w:rsidRPr="005457CC" w:rsidRDefault="004B782B" w:rsidP="005457CC">
      <w:pPr>
        <w:jc w:val="center"/>
        <w:rPr>
          <w:lang w:val="en-US"/>
        </w:rPr>
      </w:pPr>
      <w:r w:rsidRPr="005457CC">
        <w:rPr>
          <w:lang w:val="en-US"/>
        </w:rPr>
        <w:t>Name</w:t>
      </w:r>
    </w:p>
    <w:p w14:paraId="71DDDD70" w14:textId="354CA8F3" w:rsidR="005457CC" w:rsidRPr="005457CC" w:rsidRDefault="004B782B" w:rsidP="005457CC">
      <w:pPr>
        <w:jc w:val="center"/>
        <w:rPr>
          <w:lang w:val="en-US"/>
        </w:rPr>
      </w:pPr>
      <w:r w:rsidRPr="005457CC">
        <w:rPr>
          <w:lang w:val="en-US"/>
        </w:rPr>
        <w:t>Institution</w:t>
      </w:r>
    </w:p>
    <w:p w14:paraId="58FA3E41" w14:textId="13332480" w:rsidR="005457CC" w:rsidRDefault="005457CC" w:rsidP="005457CC">
      <w:pPr>
        <w:jc w:val="center"/>
        <w:rPr>
          <w:b/>
          <w:bCs/>
          <w:lang w:val="en-US"/>
        </w:rPr>
      </w:pPr>
    </w:p>
    <w:p w14:paraId="2C0BF0A8" w14:textId="611C32AC" w:rsidR="005457CC" w:rsidRDefault="005457CC" w:rsidP="005457CC">
      <w:pPr>
        <w:jc w:val="center"/>
        <w:rPr>
          <w:b/>
          <w:bCs/>
          <w:lang w:val="en-US"/>
        </w:rPr>
      </w:pPr>
    </w:p>
    <w:p w14:paraId="11D0E1EE" w14:textId="15781B17" w:rsidR="005457CC" w:rsidRDefault="005457CC" w:rsidP="005457CC">
      <w:pPr>
        <w:jc w:val="center"/>
        <w:rPr>
          <w:b/>
          <w:bCs/>
          <w:lang w:val="en-US"/>
        </w:rPr>
      </w:pPr>
    </w:p>
    <w:p w14:paraId="3BB3FA9A" w14:textId="02A1B719" w:rsidR="005457CC" w:rsidRDefault="005457CC" w:rsidP="005457CC">
      <w:pPr>
        <w:jc w:val="center"/>
        <w:rPr>
          <w:b/>
          <w:bCs/>
          <w:lang w:val="en-US"/>
        </w:rPr>
      </w:pPr>
    </w:p>
    <w:p w14:paraId="10F9E2B2" w14:textId="5D7A8B60" w:rsidR="005457CC" w:rsidRDefault="005457CC" w:rsidP="005457CC">
      <w:pPr>
        <w:jc w:val="center"/>
        <w:rPr>
          <w:b/>
          <w:bCs/>
          <w:lang w:val="en-US"/>
        </w:rPr>
      </w:pPr>
    </w:p>
    <w:p w14:paraId="4141C202" w14:textId="12BCA24B" w:rsidR="005457CC" w:rsidRDefault="005457CC" w:rsidP="005457CC">
      <w:pPr>
        <w:jc w:val="center"/>
        <w:rPr>
          <w:b/>
          <w:bCs/>
          <w:lang w:val="en-US"/>
        </w:rPr>
      </w:pPr>
    </w:p>
    <w:p w14:paraId="69AAC95F" w14:textId="57FC2F35" w:rsidR="005457CC" w:rsidRDefault="005457CC" w:rsidP="005457CC">
      <w:pPr>
        <w:jc w:val="center"/>
        <w:rPr>
          <w:b/>
          <w:bCs/>
          <w:lang w:val="en-US"/>
        </w:rPr>
      </w:pPr>
    </w:p>
    <w:p w14:paraId="00ABDB1A" w14:textId="5C011590" w:rsidR="005457CC" w:rsidRDefault="005457CC" w:rsidP="005457CC">
      <w:pPr>
        <w:jc w:val="center"/>
        <w:rPr>
          <w:b/>
          <w:bCs/>
          <w:lang w:val="en-US"/>
        </w:rPr>
      </w:pPr>
    </w:p>
    <w:p w14:paraId="30A51A18" w14:textId="48E6D56C" w:rsidR="005457CC" w:rsidRDefault="005457CC" w:rsidP="005457CC">
      <w:pPr>
        <w:jc w:val="center"/>
        <w:rPr>
          <w:b/>
          <w:bCs/>
          <w:lang w:val="en-US"/>
        </w:rPr>
      </w:pPr>
    </w:p>
    <w:p w14:paraId="5A966DBE" w14:textId="57FD063C" w:rsidR="005457CC" w:rsidRDefault="005457CC" w:rsidP="005457CC">
      <w:pPr>
        <w:jc w:val="center"/>
        <w:rPr>
          <w:b/>
          <w:bCs/>
          <w:lang w:val="en-US"/>
        </w:rPr>
      </w:pPr>
    </w:p>
    <w:p w14:paraId="20E52170" w14:textId="11407FE9" w:rsidR="005457CC" w:rsidRDefault="005457CC" w:rsidP="005457CC">
      <w:pPr>
        <w:jc w:val="center"/>
        <w:rPr>
          <w:b/>
          <w:bCs/>
          <w:lang w:val="en-US"/>
        </w:rPr>
      </w:pPr>
    </w:p>
    <w:p w14:paraId="7277C64A" w14:textId="77FEEB02" w:rsidR="005457CC" w:rsidRDefault="005457CC" w:rsidP="005457CC">
      <w:pPr>
        <w:jc w:val="center"/>
        <w:rPr>
          <w:b/>
          <w:bCs/>
          <w:lang w:val="en-US"/>
        </w:rPr>
      </w:pPr>
    </w:p>
    <w:p w14:paraId="098A9BBF" w14:textId="2585B725" w:rsidR="005457CC" w:rsidRDefault="005457CC" w:rsidP="005457CC">
      <w:pPr>
        <w:jc w:val="center"/>
        <w:rPr>
          <w:b/>
          <w:bCs/>
          <w:lang w:val="en-US"/>
        </w:rPr>
      </w:pPr>
    </w:p>
    <w:p w14:paraId="6E9F2188" w14:textId="7A83AFF4" w:rsidR="00FB7225" w:rsidRDefault="004B782B" w:rsidP="005457CC">
      <w:pPr>
        <w:spacing w:line="480" w:lineRule="auto"/>
        <w:ind w:firstLine="720"/>
        <w:jc w:val="both"/>
        <w:rPr>
          <w:lang w:val="en-US"/>
        </w:rPr>
      </w:pPr>
      <w:r>
        <w:rPr>
          <w:lang w:val="en-US"/>
        </w:rPr>
        <w:lastRenderedPageBreak/>
        <w:t>Post-traumatic</w:t>
      </w:r>
      <w:r w:rsidR="00A40E06">
        <w:rPr>
          <w:lang w:val="en-US"/>
        </w:rPr>
        <w:t xml:space="preserve"> stress disorder has a severe behavioral and mental influence on an individual who has experienced these trauma events first hand. It occurs when an individual is directly involved in an incident which leaves a lasting impact on their memory and thus unable to continue with their lives normally. The events that are significantly associated with the development of this condition include serious accidents, sexual or physical assault, abuse and exposure to traumatic events either at work or in any given emergency </w:t>
      </w:r>
      <w:r w:rsidR="005457CC">
        <w:rPr>
          <w:lang w:val="en-US"/>
        </w:rPr>
        <w:fldChar w:fldCharType="begin" w:fldLock="1"/>
      </w:r>
      <w:r w:rsidR="005457CC">
        <w:rPr>
          <w:lang w:val="en-US"/>
        </w:rPr>
        <w:instrText>ADDIN CSL_CITATION {"citationItems":[{"id":"ITEM-1","itemData":{"DOI":"10.1080/15325024.2013.797268","ISSN":"15325032","abstract":"In order to add to the body of research that examines the phenomenon of vicarious posttraumatic growth, this study sought to illuminate the lived experiences of mental health professionals who work on a day-to-day basis with multiply traumatized children and adolescents and, as a result, experience measurably high levels of vicarious trauma and compassion satisfaction. The findings from this qualitative study support positive vicarious experiences derived from trauma work and expose the pathologically focused nature of the profession.","author":[{"dropping-particle":"","family":"Hyatt-Burkhart","given":"Debra","non-dropping-particle":"","parse-names":false,"suffix":""}],"container-title":"Journal of Loss and Trauma","id":"ITEM-1","issued":{"date-parts":[["2014"]]},"title":"The Experience of Vicarious Posttraumatic Growth in Mental Health Workers","type":"article-journal"},"uris":["http://www.mendeley.com/documents/?uuid=4bf18010-c01e-4d81-a678-c218d7da3d59"]}],"mendeley":{"formattedCitation":"(Hyatt-Burkhart, 2014)","plainTextFormattedCitation":"(Hyatt-Burkhart, 2014)","previouslyFormattedCitation":"(Hyatt-Burkhart, 2014)"},"properties":{"noteIndex":0},"schema":"https://github.com/citation-style-language/schema/raw/master/csl-citation.json"}</w:instrText>
      </w:r>
      <w:r w:rsidR="005457CC">
        <w:rPr>
          <w:lang w:val="en-US"/>
        </w:rPr>
        <w:fldChar w:fldCharType="separate"/>
      </w:r>
      <w:r w:rsidR="005457CC" w:rsidRPr="005457CC">
        <w:rPr>
          <w:noProof/>
          <w:lang w:val="en-US"/>
        </w:rPr>
        <w:t>(Hyatt-Burkhart, 2014)</w:t>
      </w:r>
      <w:r w:rsidR="005457CC">
        <w:rPr>
          <w:lang w:val="en-US"/>
        </w:rPr>
        <w:fldChar w:fldCharType="end"/>
      </w:r>
      <w:r w:rsidR="00A40E06">
        <w:rPr>
          <w:lang w:val="en-US"/>
        </w:rPr>
        <w:t xml:space="preserve">. The inability to develop a robust mental situation to deal with these events creates a sustained negative image in individual cognitive wellbeing. This in turn has a negative </w:t>
      </w:r>
      <w:r>
        <w:rPr>
          <w:lang w:val="en-US"/>
        </w:rPr>
        <w:t>influence</w:t>
      </w:r>
      <w:r w:rsidR="00A40E06">
        <w:rPr>
          <w:lang w:val="en-US"/>
        </w:rPr>
        <w:t xml:space="preserve"> on their personal and professional development.</w:t>
      </w:r>
    </w:p>
    <w:p w14:paraId="4AA83B2E" w14:textId="5DA9314B" w:rsidR="00A40E06" w:rsidRDefault="004B782B" w:rsidP="005457CC">
      <w:pPr>
        <w:spacing w:line="480" w:lineRule="auto"/>
        <w:ind w:firstLine="720"/>
        <w:jc w:val="both"/>
        <w:rPr>
          <w:lang w:val="en-US"/>
        </w:rPr>
      </w:pPr>
      <w:r>
        <w:rPr>
          <w:lang w:val="en-US"/>
        </w:rPr>
        <w:t>Vicarious trauma, on the other hand, is a condition that mainly affects therapists who interact significantly with clients with dangerous trauma influence in their lives. The decisions that are undertaken in this case define a unique environment where it is difficult to control the behavior and the level of development among trauma assisting professional. The regular interaction with clients with different trauma experiences create a difficult environment for trauma-assisting professionals. They are expected to maintain a high level of professionalism such that these events do not influence their wellbeing</w:t>
      </w:r>
      <w:r w:rsidR="005457CC">
        <w:rPr>
          <w:lang w:val="en-US"/>
        </w:rPr>
        <w:t xml:space="preserve"> </w:t>
      </w:r>
      <w:r w:rsidR="005457CC">
        <w:rPr>
          <w:lang w:val="en-US"/>
        </w:rPr>
        <w:fldChar w:fldCharType="begin" w:fldLock="1"/>
      </w:r>
      <w:r w:rsidR="005457CC">
        <w:rPr>
          <w:lang w:val="en-US"/>
        </w:rPr>
        <w:instrText>ADDIN CSL_CITATION {"citationItems":[{"id":"ITEM-1","itemData":{"DOI":"10.1080/08897077.2016.1181695","ISSN":"15470164","abstract":"Background: Practitioners working with clients who have experienced trauma are vulnerable to experiencing both vicarious trauma and vicarious posttraumatic growth (PTG). A survey was conducted in which treatment providers who work with adults seeking help for substance abuse were asked about their experience of vicarious trauma and vicarious PTG. It was hypothesized that vicarious trauma and vicarious PTG would be positively associated with each other, that personal history of trauma and years of working with clients who had experienced trauma would be positively associated with vicarious trauma, and that in addition to those variables, personal counseling, training, and supervision would be associated with vicarious PTG. Methods: Surveys were sent to the directors of 15 social service agencies in one county in central California. Surveys included questions about the respondent's history of substance use and trauma and experience with clients who had experienced trauma. In addition, the survey con...","author":[{"dropping-particle":"","family":"Cosden","given":"Merith","non-dropping-particle":"","parse-names":false,"suffix":""},{"dropping-particle":"","family":"Sanford","given":"Ashley","non-dropping-particle":"","parse-names":false,"suffix":""},{"dropping-particle":"","family":"Koch","given":"Lauren M.","non-dropping-particle":"","parse-names":false,"suffix":""},{"dropping-particle":"","family":"Lepore","given":"Caitlin E.","non-dropping-particle":"","parse-names":false,"suffix":""}],"container-title":"Substance Abuse","id":"ITEM-1","issued":{"date-parts":[["2016"]]},"title":"Vicarious trauma and vicarious posttraumatic growth among substance abuse treatment providers","type":"article-journal"},"uris":["http://www.mendeley.com/documents/?uuid=ee009a19-6c59-4392-ad7a-33b7e14b2dd6"]}],"mendeley":{"formattedCitation":"(Cosden, Sanford, Koch, &amp; Lepore, 2016)","manualFormatting":"(Cosden et al., 2016)","plainTextFormattedCitation":"(Cosden, Sanford, Koch, &amp; Lepore, 2016)","previouslyFormattedCitation":"(Cosden, Sanford, Koch, &amp; Lepore, 2016)"},"properties":{"noteIndex":0},"schema":"https://github.com/citation-style-language/schema/raw/master/csl-citation.json"}</w:instrText>
      </w:r>
      <w:r w:rsidR="005457CC">
        <w:rPr>
          <w:lang w:val="en-US"/>
        </w:rPr>
        <w:fldChar w:fldCharType="separate"/>
      </w:r>
      <w:r w:rsidR="005457CC" w:rsidRPr="005457CC">
        <w:rPr>
          <w:noProof/>
          <w:lang w:val="en-US"/>
        </w:rPr>
        <w:t>(Cosden</w:t>
      </w:r>
      <w:r w:rsidR="005457CC">
        <w:rPr>
          <w:noProof/>
          <w:lang w:val="en-US"/>
        </w:rPr>
        <w:t xml:space="preserve"> et al.</w:t>
      </w:r>
      <w:r w:rsidR="005457CC" w:rsidRPr="005457CC">
        <w:rPr>
          <w:noProof/>
          <w:lang w:val="en-US"/>
        </w:rPr>
        <w:t>,</w:t>
      </w:r>
      <w:r w:rsidR="005457CC">
        <w:rPr>
          <w:noProof/>
          <w:lang w:val="en-US"/>
        </w:rPr>
        <w:t xml:space="preserve"> </w:t>
      </w:r>
      <w:r w:rsidR="005457CC" w:rsidRPr="005457CC">
        <w:rPr>
          <w:noProof/>
          <w:lang w:val="en-US"/>
        </w:rPr>
        <w:t>2016)</w:t>
      </w:r>
      <w:r w:rsidR="005457CC">
        <w:rPr>
          <w:lang w:val="en-US"/>
        </w:rPr>
        <w:fldChar w:fldCharType="end"/>
      </w:r>
      <w:r>
        <w:rPr>
          <w:lang w:val="en-US"/>
        </w:rPr>
        <w:t xml:space="preserve">. </w:t>
      </w:r>
      <w:proofErr w:type="gramStart"/>
      <w:r>
        <w:rPr>
          <w:lang w:val="en-US"/>
        </w:rPr>
        <w:t>Thus</w:t>
      </w:r>
      <w:proofErr w:type="gramEnd"/>
      <w:r>
        <w:rPr>
          <w:lang w:val="en-US"/>
        </w:rPr>
        <w:t xml:space="preserve"> post-traumatic stress disorder and vicarious are two different conditions where vicarious trauma is developed by association and interaction with individuals influenced by post-traumatic stress disorder. </w:t>
      </w:r>
      <w:proofErr w:type="gramStart"/>
      <w:r>
        <w:rPr>
          <w:lang w:val="en-US"/>
        </w:rPr>
        <w:t>Therefore</w:t>
      </w:r>
      <w:proofErr w:type="gramEnd"/>
      <w:r>
        <w:rPr>
          <w:lang w:val="en-US"/>
        </w:rPr>
        <w:t xml:space="preserve"> based on the evidence from the video, it is clear that these individuals are suffering from different conditions based on the information provided.</w:t>
      </w:r>
      <w:r w:rsidR="00B423E7">
        <w:rPr>
          <w:lang w:val="en-US"/>
        </w:rPr>
        <w:t xml:space="preserve"> </w:t>
      </w:r>
    </w:p>
    <w:p w14:paraId="1E26292F" w14:textId="18D5F27F" w:rsidR="00B423E7" w:rsidRDefault="004B782B" w:rsidP="005457CC">
      <w:pPr>
        <w:spacing w:line="480" w:lineRule="auto"/>
        <w:ind w:firstLine="720"/>
        <w:jc w:val="both"/>
        <w:rPr>
          <w:lang w:val="en-US"/>
        </w:rPr>
      </w:pPr>
      <w:r>
        <w:rPr>
          <w:lang w:val="en-US"/>
        </w:rPr>
        <w:t xml:space="preserve">In understanding the development of these conditions, it is crucial to evaluate the underlying characteristics which help define a strong emphasis on the situations as faced by different individuals. Richard Malmstrom is dealing with the post-traumatic disorder, and Claude Boushey is suffering from vicarious trauma. Understanding the development of these conditions requires a critical approach that investigates the behavior and development of these </w:t>
      </w:r>
      <w:r>
        <w:rPr>
          <w:lang w:val="en-US"/>
        </w:rPr>
        <w:lastRenderedPageBreak/>
        <w:t>conditions. Each of these individuals is working in different settings. Hence define a reliable system that requires the adoption of essential processes that can help understand different behaviors as faced by these individuals.</w:t>
      </w:r>
    </w:p>
    <w:p w14:paraId="65FFBC27" w14:textId="0AF4E9DE" w:rsidR="00B423E7" w:rsidRDefault="004B782B" w:rsidP="005457CC">
      <w:pPr>
        <w:spacing w:line="480" w:lineRule="auto"/>
        <w:ind w:firstLine="720"/>
        <w:jc w:val="both"/>
        <w:rPr>
          <w:lang w:val="en-US"/>
        </w:rPr>
      </w:pPr>
      <w:r>
        <w:rPr>
          <w:lang w:val="en-US"/>
        </w:rPr>
        <w:t xml:space="preserve">Based on the information that has been provided in the video </w:t>
      </w:r>
      <w:r w:rsidR="00032EE5">
        <w:rPr>
          <w:lang w:val="en-US"/>
        </w:rPr>
        <w:t>transcript,</w:t>
      </w:r>
      <w:r w:rsidR="00032EE5" w:rsidRPr="00B423E7">
        <w:rPr>
          <w:lang w:val="en-US"/>
        </w:rPr>
        <w:t xml:space="preserve"> Richard</w:t>
      </w:r>
      <w:r w:rsidRPr="00B423E7">
        <w:rPr>
          <w:lang w:val="en-US"/>
        </w:rPr>
        <w:t xml:space="preserve"> Malstrom was a lieutenant commander in the United States Navy. </w:t>
      </w:r>
      <w:r>
        <w:rPr>
          <w:lang w:val="en-US"/>
        </w:rPr>
        <w:t>He was assigned to the 3</w:t>
      </w:r>
      <w:r w:rsidRPr="00B423E7">
        <w:rPr>
          <w:vertAlign w:val="superscript"/>
          <w:lang w:val="en-US"/>
        </w:rPr>
        <w:t>rd</w:t>
      </w:r>
      <w:r>
        <w:rPr>
          <w:lang w:val="en-US"/>
        </w:rPr>
        <w:t xml:space="preserve"> battalion, which was sent deep into Iraq during one of the toughest times during the war</w:t>
      </w:r>
      <w:r w:rsidR="005457CC">
        <w:rPr>
          <w:lang w:val="en-US"/>
        </w:rPr>
        <w:t xml:space="preserve"> </w:t>
      </w:r>
      <w:r w:rsidR="005457CC">
        <w:rPr>
          <w:lang w:val="en-US"/>
        </w:rPr>
        <w:fldChar w:fldCharType="begin" w:fldLock="1"/>
      </w:r>
      <w:r w:rsidR="005457CC">
        <w:rPr>
          <w:lang w:val="en-US"/>
        </w:rPr>
        <w:instrText>ADDIN CSL_CITATION {"citationItems":[{"id":"ITEM-1","itemData":{"DOI":"http://dx.doi.org/10.1089/neu.2014.3585","ISSN":"0897-7151, 0897-7151","abstract":"United States veterans of the Iraqi (Operation Iraqi Freedom [OIF]) and Afghanistan (Operation Enduring Freedom [OEF]) conflicts have frequently returned from deployment after sustaining mild traumatic brain injury (mTBI) and enduring stressful events resulting in post-traumatic stress disorder (PTSD). A large number of returning service members have been diagnosed with both a history of mTBI and current PTSD. Substantial literature exists on the neuropsychological factors associated with mTBI and PTSD occurring separately; far less research has explored the combined effects of PTSD and mTBI. The current study employed neuropsychological and psychological measures in a sample of 251 OIF/OEF veterans to determine whether participants with a history of mTBI and current PTSD (mTBI+PTSD) have poorer cognitive and psychological outcomes than participants with mTBI only (mTBI-o), PTSD only (PTSD-o), or veteran controls (VC), when groups are comparable on intelligence quotient, education, and age. The mTBI+PTSD group performed more poorly than VC, mTBI-o, and PTSD-o groups on several neuropsychological measures. Effect size comparisons suggest small deleterious effects for mTBI-o on measures of processing speed and visual attention and small effects for PTSD-o on measures of verbal memory, with moderate effects for mTBI+PTSD on the same variables. Additionally, the mTBI+PTSD group was significantly more psychologically distressed than the PTSD-o group, and PTSD-o group was more distressed than VC and mTBI-o groups. These findings suggest that veterans with mTBI+PTSD perform significantly lower on neuropsychological and psychiatric measures than veterans with mTBI-o or PTSD-o. The results also raise the possibility of mild but persisting cognitive changes following mTBI sustained during deployment. ","author":[{"dropping-particle":"","family":"Combs","given":"Hannah L","non-dropping-particle":"","parse-names":false,"suffix":""},{"dropping-particle":"","family":"Berry","given":"David T R","non-dropping-particle":"","parse-names":false,"suffix":""},{"dropping-particle":"","family":"Pape","given":"Theresa","non-dropping-particle":"","parse-names":false,"suffix":""},{"dropping-particle":"","family":"Babcock-Parziale","given":"Judith","non-dropping-particle":"","parse-names":false,"suffix":""},{"dropping-particle":"","family":"Smith","given":"Bridget M","non-dropping-particle":"","parse-names":false,"suffix":""},{"dropping-particle":"","family":"Schleenbaker","given":"R","non-dropping-particle":"","parse-names":false,"suffix":""},{"dropping-particle":"","family":"Shandera-Ochsner","given":"A","non-dropping-particle":"","parse-names":false,"suffix":""},{"dropping-particle":"","family":"Harp","given":"J P","non-dropping-particle":"","parse-names":false,"suffix":""},{"dropping-particle":"","family":"High","given":"W M","non-dropping-particle":"","parse-names":false,"suffix":""}],"container-title":"Journal of Neurotrauma","id":"ITEM-1","issued":{"date-parts":[["2015"]]},"title":"The effects of mild traumatic brain injury, post-traumatic stress disorder, and combined mild traumatic brain injury/post-traumatic stress disorder on returning veterans","type":"article-journal"},"uris":["http://www.mendeley.com/documents/?uuid=e557193c-f462-4249-8cf7-615eb299cc0c"]}],"mendeley":{"formattedCitation":"(Combs et al., 2015)","plainTextFormattedCitation":"(Combs et al., 2015)","previouslyFormattedCitation":"(Combs et al., 2015)"},"properties":{"noteIndex":0},"schema":"https://github.com/citation-style-language/schema/raw/master/csl-citation.json"}</w:instrText>
      </w:r>
      <w:r w:rsidR="005457CC">
        <w:rPr>
          <w:lang w:val="en-US"/>
        </w:rPr>
        <w:fldChar w:fldCharType="separate"/>
      </w:r>
      <w:r w:rsidR="005457CC" w:rsidRPr="005457CC">
        <w:rPr>
          <w:noProof/>
          <w:lang w:val="en-US"/>
        </w:rPr>
        <w:t>(Combs et al., 2015)</w:t>
      </w:r>
      <w:r w:rsidR="005457CC">
        <w:rPr>
          <w:lang w:val="en-US"/>
        </w:rPr>
        <w:fldChar w:fldCharType="end"/>
      </w:r>
      <w:r>
        <w:rPr>
          <w:lang w:val="en-US"/>
        </w:rPr>
        <w:t xml:space="preserve">. There were very many insurgents at the time, and regular attacks were frequent on American troops. These </w:t>
      </w:r>
      <w:proofErr w:type="gramStart"/>
      <w:r>
        <w:rPr>
          <w:lang w:val="en-US"/>
        </w:rPr>
        <w:t>insurgents</w:t>
      </w:r>
      <w:proofErr w:type="gramEnd"/>
      <w:r>
        <w:rPr>
          <w:lang w:val="en-US"/>
        </w:rPr>
        <w:t xml:space="preserve"> groups in Iraq did not want the American presence in the country. Malmstrom had frontline experience where he witnessed some of the most gruesome deaths of his colleagues as well as life-changing injuries suffered by fellow soldiers.</w:t>
      </w:r>
    </w:p>
    <w:p w14:paraId="16A170CC" w14:textId="4BD78BC7" w:rsidR="00B423E7" w:rsidRDefault="004B782B" w:rsidP="005457CC">
      <w:pPr>
        <w:spacing w:line="480" w:lineRule="auto"/>
        <w:ind w:firstLine="720"/>
        <w:jc w:val="both"/>
        <w:rPr>
          <w:lang w:val="en-US"/>
        </w:rPr>
      </w:pPr>
      <w:r>
        <w:rPr>
          <w:lang w:val="en-US"/>
        </w:rPr>
        <w:t xml:space="preserve">Richard Malmstrom is suffering from </w:t>
      </w:r>
      <w:r w:rsidR="00032EE5">
        <w:rPr>
          <w:lang w:val="en-US"/>
        </w:rPr>
        <w:t>regular</w:t>
      </w:r>
      <w:r>
        <w:rPr>
          <w:lang w:val="en-US"/>
        </w:rPr>
        <w:t xml:space="preserve"> negative flashbacks of the war period as well as intrusive memories of the events. His mental situation was so severe that he was even affected by the training dummies which were being used by officers </w:t>
      </w:r>
      <w:r w:rsidR="00032EE5">
        <w:rPr>
          <w:lang w:val="en-US"/>
        </w:rPr>
        <w:t xml:space="preserve">for performing CPRs. The memories despite happening a long time ago have remained vivid and constant reminder of his involvement in the Iraq war. Key symptoms that help in deducing  post-traumatic disorder include having trouble in concentrating, frequent flashbacks as well as the intrusive memories </w:t>
      </w:r>
      <w:r w:rsidR="005457CC">
        <w:rPr>
          <w:lang w:val="en-US"/>
        </w:rPr>
        <w:fldChar w:fldCharType="begin" w:fldLock="1"/>
      </w:r>
      <w:r w:rsidR="005457CC">
        <w:rPr>
          <w:lang w:val="en-US"/>
        </w:rPr>
        <w:instrText>ADDIN CSL_CITATION {"citationItems":[{"id":"ITEM-1","itemData":{"DOI":"10.1017/S0033291714001202","ISSN":"14698978","PMID":"25065450","abstract":"Background. There is increasing recognition that, in addition to negative psychological consequences of trauma such as post-traumatic stress disorder (PTSD), some individuals may develop post-traumatic growth (PTG) following such experiences. To date, however, data regarding the prevalence, correlates and functional significance of PTG in population-based samples are lacking. Method. Data were analysed from the National Health and Resilience in Veterans Study, a contemporary, nationally representative survey of 3157 US veterans. Veterans completed a survey containing measures of sociodemographic, military, health and psychosocial characteristics, and the Posttraumatic Growth Inventory-Short Form. Results. We found that 50.1% of all veterans and 72.0% of veterans who screened positive for PTSD reported at least 'moderate' PTG in relation to their worst traumatic event. An inverted U-shaped relationship was found to best explain the relationship between PTSD symptoms and PTG. Among veterans with PTSD, those with PTSD reported better mental functioning and general health than those without PTG. Experiencing a life-threatening illness or injury and re-experiencing symptoms were most strongly associated with PTG. In multivariable analysis, greater social connectedness, intrinsic religiosity and purpose in life were independently associated with greater PTG. Conclusions. PTG is prevalent among US veterans, particularly among those who screen positive for PTSD. These results suggest that there may be a 'positive legacy' of trauma that has functional significance for veterans. They further suggest that interventions geared toward helping trauma-exposed US veterans process their re-experiencing symptoms, and to develop greater social connections, sense of purpose and intrinsic religiosity may help promote PTG in this population. Copyright © 2014 Cambridge University Press.","author":[{"dropping-particle":"","family":"Tsai","given":"J.","non-dropping-particle":"","parse-names":false,"suffix":""},{"dropping-particle":"","family":"El-Gabalawy","given":"R.","non-dropping-particle":"","parse-names":false,"suffix":""},{"dropping-particle":"","family":"Sledge","given":"W. H.","non-dropping-particle":"","parse-names":false,"suffix":""},{"dropping-particle":"","family":"Southwick","given":"S. M.","non-dropping-particle":"","parse-names":false,"suffix":""},{"dropping-particle":"","family":"Pietrzak","given":"R. H.","non-dropping-particle":"","parse-names":false,"suffix":""}],"container-title":"Psychological Medicine","id":"ITEM-1","issued":{"date-parts":[["2015"]]},"title":"Post-traumatic growth among veterans in the USA: Results from the National Health and Resilience in Veterans Study","type":"article-journal"},"uris":["http://www.mendeley.com/documents/?uuid=ddc2175a-5c5f-4f2a-b435-95b6b1fecce1"]}],"mendeley":{"formattedCitation":"(Tsai, El-Gabalawy, Sledge, Southwick, &amp; Pietrzak, 2015)","manualFormatting":"(Tsai et al., 2015)","plainTextFormattedCitation":"(Tsai, El-Gabalawy, Sledge, Southwick, &amp; Pietrzak, 2015)","previouslyFormattedCitation":"(Tsai, El-Gabalawy, Sledge, Southwick, &amp; Pietrzak, 2015)"},"properties":{"noteIndex":0},"schema":"https://github.com/citation-style-language/schema/raw/master/csl-citation.json"}</w:instrText>
      </w:r>
      <w:r w:rsidR="005457CC">
        <w:rPr>
          <w:lang w:val="en-US"/>
        </w:rPr>
        <w:fldChar w:fldCharType="separate"/>
      </w:r>
      <w:r w:rsidR="005457CC" w:rsidRPr="005457CC">
        <w:rPr>
          <w:noProof/>
          <w:lang w:val="en-US"/>
        </w:rPr>
        <w:t>(Tsai</w:t>
      </w:r>
      <w:r w:rsidR="005457CC">
        <w:rPr>
          <w:noProof/>
          <w:lang w:val="en-US"/>
        </w:rPr>
        <w:t xml:space="preserve"> et al.</w:t>
      </w:r>
      <w:r w:rsidR="005457CC" w:rsidRPr="005457CC">
        <w:rPr>
          <w:noProof/>
          <w:lang w:val="en-US"/>
        </w:rPr>
        <w:t>, 2015)</w:t>
      </w:r>
      <w:r w:rsidR="005457CC">
        <w:rPr>
          <w:lang w:val="en-US"/>
        </w:rPr>
        <w:fldChar w:fldCharType="end"/>
      </w:r>
      <w:r w:rsidR="00032EE5">
        <w:rPr>
          <w:lang w:val="en-US"/>
        </w:rPr>
        <w:t>. The fact that he was directly involved in the war and had the first experience of these events show that his condition is post-traumatic disorder.</w:t>
      </w:r>
    </w:p>
    <w:p w14:paraId="45ED8010" w14:textId="250839C0" w:rsidR="00032EE5" w:rsidRDefault="004B782B" w:rsidP="005457CC">
      <w:pPr>
        <w:spacing w:line="480" w:lineRule="auto"/>
        <w:ind w:firstLine="720"/>
        <w:jc w:val="both"/>
        <w:rPr>
          <w:lang w:val="en-US"/>
        </w:rPr>
      </w:pPr>
      <w:r>
        <w:rPr>
          <w:lang w:val="en-US"/>
        </w:rPr>
        <w:t xml:space="preserve">Claude Boushey is another individual who is having trouble in his life, </w:t>
      </w:r>
      <w:r w:rsidR="00850F71">
        <w:rPr>
          <w:lang w:val="en-US"/>
        </w:rPr>
        <w:t>mainly</w:t>
      </w:r>
      <w:r>
        <w:rPr>
          <w:lang w:val="en-US"/>
        </w:rPr>
        <w:t xml:space="preserve"> in association with his line of work and constant interaction with soldiers of war. His challenges include physical and emotional, which create a difficult setting where he can perform his duties as a counselor. Boushey had a role as a counselor where he interacted with many soldiers having mental severe conditions as a result of involvement in the war. During this time, while interacting with soldiers, he developed a personal relationship with some of them who died </w:t>
      </w:r>
      <w:r>
        <w:rPr>
          <w:lang w:val="en-US"/>
        </w:rPr>
        <w:lastRenderedPageBreak/>
        <w:t>from the war. Boushey was consumed by the situation limiting his development due to the close interaction with his clients which in turn influenced his ability to perform his duties diligently</w:t>
      </w:r>
      <w:r w:rsidR="005457CC">
        <w:rPr>
          <w:lang w:val="en-US"/>
        </w:rPr>
        <w:t xml:space="preserve"> </w:t>
      </w:r>
      <w:r w:rsidR="005457CC">
        <w:rPr>
          <w:lang w:val="en-US"/>
        </w:rPr>
        <w:fldChar w:fldCharType="begin" w:fldLock="1"/>
      </w:r>
      <w:r w:rsidR="002224EB">
        <w:rPr>
          <w:lang w:val="en-US"/>
        </w:rPr>
        <w:instrText>ADDIN CSL_CITATION {"citationItems":[{"id":"ITEM-1","itemData":{"DOI":"10.1080/08897077.2016.1181695","ISSN":"15470164","abstract":"Background: Practitioners working with clients who have experienced trauma are vulnerable to experiencing both vicarious trauma and vicarious posttraumatic growth (PTG). A survey was conducted in which treatment providers who work with adults seeking help for substance abuse were asked about their experience of vicarious trauma and vicarious PTG. It was hypothesized that vicarious trauma and vicarious PTG would be positively associated with each other, that personal history of trauma and years of working with clients who had experienced trauma would be positively associated with vicarious trauma, and that in addition to those variables, personal counseling, training, and supervision would be associated with vicarious PTG. Methods: Surveys were sent to the directors of 15 social service agencies in one county in central California. Surveys included questions about the respondent's history of substance use and trauma and experience with clients who had experienced trauma. In addition, the survey con...","author":[{"dropping-particle":"","family":"Cosden","given":"Merith","non-dropping-particle":"","parse-names":false,"suffix":""},{"dropping-particle":"","family":"Sanford","given":"Ashley","non-dropping-particle":"","parse-names":false,"suffix":""},{"dropping-particle":"","family":"Koch","given":"Lauren M.","non-dropping-particle":"","parse-names":false,"suffix":""},{"dropping-particle":"","family":"Lepore","given":"Caitlin E.","non-dropping-particle":"","parse-names":false,"suffix":""}],"container-title":"Substance Abuse","id":"ITEM-1","issued":{"date-parts":[["2016"]]},"title":"Vicarious trauma and vicarious posttraumatic growth among substance abuse treatment providers","type":"article-journal"},"uris":["http://www.mendeley.com/documents/?uuid=ee009a19-6c59-4392-ad7a-33b7e14b2dd6"]}],"mendeley":{"formattedCitation":"(Cosden et al., 2016)","plainTextFormattedCitation":"(Cosden et al., 2016)","previouslyFormattedCitation":"(Cosden et al., 2016)"},"properties":{"noteIndex":0},"schema":"https://github.com/citation-style-language/schema/raw/master/csl-citation.json"}</w:instrText>
      </w:r>
      <w:r w:rsidR="005457CC">
        <w:rPr>
          <w:lang w:val="en-US"/>
        </w:rPr>
        <w:fldChar w:fldCharType="separate"/>
      </w:r>
      <w:r w:rsidR="005457CC" w:rsidRPr="005457CC">
        <w:rPr>
          <w:noProof/>
          <w:lang w:val="en-US"/>
        </w:rPr>
        <w:t>(Cosden et al., 2016)</w:t>
      </w:r>
      <w:r w:rsidR="005457CC">
        <w:rPr>
          <w:lang w:val="en-US"/>
        </w:rPr>
        <w:fldChar w:fldCharType="end"/>
      </w:r>
      <w:r>
        <w:rPr>
          <w:lang w:val="en-US"/>
        </w:rPr>
        <w:t>. The negative memories regarding his communication with clients were difficult to control, thus limiting his ability to function correctly. He was also suffering from physical exhaustion</w:t>
      </w:r>
      <w:r w:rsidR="0026657D">
        <w:rPr>
          <w:lang w:val="en-US"/>
        </w:rPr>
        <w:t xml:space="preserve">. Other </w:t>
      </w:r>
      <w:r w:rsidR="00850F71">
        <w:rPr>
          <w:lang w:val="en-US"/>
        </w:rPr>
        <w:t>characteristics</w:t>
      </w:r>
      <w:r w:rsidR="0026657D">
        <w:rPr>
          <w:lang w:val="en-US"/>
        </w:rPr>
        <w:t xml:space="preserve"> that confirm that he was suffering from vicarious trauma include being disillusioned and disconnected from his feelings because of excessive pressure and relationship strain. </w:t>
      </w:r>
    </w:p>
    <w:p w14:paraId="7A401E25" w14:textId="07878B85" w:rsidR="00B423E7" w:rsidRDefault="004B782B" w:rsidP="005457CC">
      <w:pPr>
        <w:spacing w:line="480" w:lineRule="auto"/>
        <w:ind w:firstLine="720"/>
        <w:jc w:val="both"/>
        <w:rPr>
          <w:lang w:val="en-US"/>
        </w:rPr>
      </w:pPr>
      <w:r>
        <w:rPr>
          <w:lang w:val="en-US"/>
        </w:rPr>
        <w:t xml:space="preserve">Insights </w:t>
      </w:r>
    </w:p>
    <w:p w14:paraId="76002BCE" w14:textId="4CC83A53" w:rsidR="0026657D" w:rsidRDefault="004B782B" w:rsidP="005457CC">
      <w:pPr>
        <w:spacing w:line="480" w:lineRule="auto"/>
        <w:ind w:firstLine="720"/>
        <w:jc w:val="both"/>
        <w:rPr>
          <w:lang w:val="en-US"/>
        </w:rPr>
      </w:pPr>
      <w:r>
        <w:rPr>
          <w:lang w:val="en-US"/>
        </w:rPr>
        <w:t>The video has provided a detailed understanding of different conditions experienced by different individuals. Vicarious trauma and post-traumatic stress disorder are closely interacting with healthcare conditions that limit the ability of an individual to perform their duties effectively. This is mainly because their mental situation is highly engrossed, creating a limited understanding of essential aspects that define individual development. These issues addressed in the video has a severe detrimental impact on the physical, psychological, and emotional wellbeing of individuals which create a difficult situation that influences performance.</w:t>
      </w:r>
    </w:p>
    <w:p w14:paraId="3909DBDE" w14:textId="77777777" w:rsidR="0026657D" w:rsidRDefault="004B782B" w:rsidP="005457CC">
      <w:pPr>
        <w:spacing w:line="480" w:lineRule="auto"/>
        <w:ind w:firstLine="720"/>
        <w:jc w:val="both"/>
        <w:rPr>
          <w:lang w:val="en-US"/>
        </w:rPr>
      </w:pPr>
      <w:r>
        <w:rPr>
          <w:lang w:val="en-US"/>
        </w:rPr>
        <w:t>The video also highlights that there is a high prevalence of post-traumatic stress disorder and vicarious trauma in war settings. It is difficult to control these conditions both on the part of the soldiers as well as their counselor because of the development of a strong bond between these individuals. Veterans undergo a particular receiver program that is aimed at addressing these traumatic challenges. Based on the input of the veteran in the video, it is clear that these interventions have been unable to accomplish the intended tasks. Veterans have been left suffering mental severe challenges in their lives.</w:t>
      </w:r>
    </w:p>
    <w:p w14:paraId="41A38CB6" w14:textId="18279919" w:rsidR="0026657D" w:rsidRDefault="004B782B" w:rsidP="005457CC">
      <w:pPr>
        <w:spacing w:line="480" w:lineRule="auto"/>
        <w:ind w:firstLine="720"/>
        <w:jc w:val="both"/>
        <w:rPr>
          <w:lang w:val="en-US"/>
        </w:rPr>
      </w:pPr>
      <w:r>
        <w:rPr>
          <w:lang w:val="en-US"/>
        </w:rPr>
        <w:lastRenderedPageBreak/>
        <w:t>Development of vicarious trauma is easy and common in a military setting because of regular interaction with individuals suffering from different mental conditions as a result of their involvement in the war.</w:t>
      </w:r>
      <w:r w:rsidR="00C27B62">
        <w:rPr>
          <w:lang w:val="en-US"/>
        </w:rPr>
        <w:t xml:space="preserve"> </w:t>
      </w:r>
      <w:proofErr w:type="gramStart"/>
      <w:r w:rsidR="00C27B62">
        <w:rPr>
          <w:lang w:val="en-US"/>
        </w:rPr>
        <w:t>Therefore</w:t>
      </w:r>
      <w:proofErr w:type="gramEnd"/>
      <w:r w:rsidR="00C27B62">
        <w:rPr>
          <w:lang w:val="en-US"/>
        </w:rPr>
        <w:t xml:space="preserve"> there is need to develop better management practices to ensure that trauma assisting individuals remain engaged and committed to their work.  This will also help </w:t>
      </w:r>
      <w:r>
        <w:rPr>
          <w:lang w:val="en-US"/>
        </w:rPr>
        <w:t>in receivery process among many veterans.</w:t>
      </w:r>
    </w:p>
    <w:p w14:paraId="42291771" w14:textId="3D752F34" w:rsidR="002224EB" w:rsidRDefault="002224EB" w:rsidP="005457CC">
      <w:pPr>
        <w:spacing w:line="480" w:lineRule="auto"/>
        <w:ind w:firstLine="720"/>
        <w:jc w:val="both"/>
        <w:rPr>
          <w:lang w:val="en-US"/>
        </w:rPr>
      </w:pPr>
    </w:p>
    <w:p w14:paraId="53A0BFF9" w14:textId="58F18461" w:rsidR="002224EB" w:rsidRDefault="002224EB" w:rsidP="005457CC">
      <w:pPr>
        <w:spacing w:line="480" w:lineRule="auto"/>
        <w:ind w:firstLine="720"/>
        <w:jc w:val="both"/>
        <w:rPr>
          <w:lang w:val="en-US"/>
        </w:rPr>
      </w:pPr>
    </w:p>
    <w:p w14:paraId="44705DAC" w14:textId="25C6608F" w:rsidR="002224EB" w:rsidRDefault="002224EB" w:rsidP="005457CC">
      <w:pPr>
        <w:spacing w:line="480" w:lineRule="auto"/>
        <w:ind w:firstLine="720"/>
        <w:jc w:val="both"/>
        <w:rPr>
          <w:lang w:val="en-US"/>
        </w:rPr>
      </w:pPr>
    </w:p>
    <w:p w14:paraId="467315F5" w14:textId="481E20D6" w:rsidR="002224EB" w:rsidRDefault="002224EB" w:rsidP="005457CC">
      <w:pPr>
        <w:spacing w:line="480" w:lineRule="auto"/>
        <w:ind w:firstLine="720"/>
        <w:jc w:val="both"/>
        <w:rPr>
          <w:lang w:val="en-US"/>
        </w:rPr>
      </w:pPr>
    </w:p>
    <w:p w14:paraId="46DE7A7F" w14:textId="600E4249" w:rsidR="002224EB" w:rsidRDefault="002224EB" w:rsidP="005457CC">
      <w:pPr>
        <w:spacing w:line="480" w:lineRule="auto"/>
        <w:ind w:firstLine="720"/>
        <w:jc w:val="both"/>
        <w:rPr>
          <w:lang w:val="en-US"/>
        </w:rPr>
      </w:pPr>
    </w:p>
    <w:p w14:paraId="1E11D6CB" w14:textId="2D69EF48" w:rsidR="002224EB" w:rsidRDefault="002224EB" w:rsidP="005457CC">
      <w:pPr>
        <w:spacing w:line="480" w:lineRule="auto"/>
        <w:ind w:firstLine="720"/>
        <w:jc w:val="both"/>
        <w:rPr>
          <w:lang w:val="en-US"/>
        </w:rPr>
      </w:pPr>
    </w:p>
    <w:p w14:paraId="540D6636" w14:textId="21170348" w:rsidR="002224EB" w:rsidRDefault="002224EB" w:rsidP="005457CC">
      <w:pPr>
        <w:spacing w:line="480" w:lineRule="auto"/>
        <w:ind w:firstLine="720"/>
        <w:jc w:val="both"/>
        <w:rPr>
          <w:lang w:val="en-US"/>
        </w:rPr>
      </w:pPr>
    </w:p>
    <w:p w14:paraId="0AE59695" w14:textId="24CE992A" w:rsidR="002224EB" w:rsidRDefault="002224EB" w:rsidP="005457CC">
      <w:pPr>
        <w:spacing w:line="480" w:lineRule="auto"/>
        <w:ind w:firstLine="720"/>
        <w:jc w:val="both"/>
        <w:rPr>
          <w:lang w:val="en-US"/>
        </w:rPr>
      </w:pPr>
    </w:p>
    <w:p w14:paraId="24D69B3A" w14:textId="580DD809" w:rsidR="002224EB" w:rsidRDefault="002224EB" w:rsidP="005457CC">
      <w:pPr>
        <w:spacing w:line="480" w:lineRule="auto"/>
        <w:ind w:firstLine="720"/>
        <w:jc w:val="both"/>
        <w:rPr>
          <w:lang w:val="en-US"/>
        </w:rPr>
      </w:pPr>
    </w:p>
    <w:p w14:paraId="2625B48D" w14:textId="0F8C528D" w:rsidR="002224EB" w:rsidRDefault="002224EB" w:rsidP="005457CC">
      <w:pPr>
        <w:spacing w:line="480" w:lineRule="auto"/>
        <w:ind w:firstLine="720"/>
        <w:jc w:val="both"/>
        <w:rPr>
          <w:lang w:val="en-US"/>
        </w:rPr>
      </w:pPr>
    </w:p>
    <w:p w14:paraId="1547B016" w14:textId="7A3AECB1" w:rsidR="002224EB" w:rsidRDefault="002224EB" w:rsidP="005457CC">
      <w:pPr>
        <w:spacing w:line="480" w:lineRule="auto"/>
        <w:ind w:firstLine="720"/>
        <w:jc w:val="both"/>
        <w:rPr>
          <w:lang w:val="en-US"/>
        </w:rPr>
      </w:pPr>
    </w:p>
    <w:p w14:paraId="4197450D" w14:textId="6340DC36" w:rsidR="002224EB" w:rsidRDefault="002224EB" w:rsidP="005457CC">
      <w:pPr>
        <w:spacing w:line="480" w:lineRule="auto"/>
        <w:ind w:firstLine="720"/>
        <w:jc w:val="both"/>
        <w:rPr>
          <w:lang w:val="en-US"/>
        </w:rPr>
      </w:pPr>
    </w:p>
    <w:p w14:paraId="4A4CF150" w14:textId="441EFC9E" w:rsidR="002224EB" w:rsidRDefault="002224EB" w:rsidP="005457CC">
      <w:pPr>
        <w:spacing w:line="480" w:lineRule="auto"/>
        <w:ind w:firstLine="720"/>
        <w:jc w:val="both"/>
        <w:rPr>
          <w:lang w:val="en-US"/>
        </w:rPr>
      </w:pPr>
    </w:p>
    <w:p w14:paraId="73CE1F00" w14:textId="45882887" w:rsidR="002224EB" w:rsidRDefault="002224EB" w:rsidP="005457CC">
      <w:pPr>
        <w:spacing w:line="480" w:lineRule="auto"/>
        <w:ind w:firstLine="720"/>
        <w:jc w:val="both"/>
        <w:rPr>
          <w:lang w:val="en-US"/>
        </w:rPr>
      </w:pPr>
    </w:p>
    <w:p w14:paraId="1387A1AE" w14:textId="5552537F" w:rsidR="002224EB" w:rsidRDefault="002224EB" w:rsidP="005457CC">
      <w:pPr>
        <w:spacing w:line="480" w:lineRule="auto"/>
        <w:ind w:firstLine="720"/>
        <w:jc w:val="both"/>
        <w:rPr>
          <w:lang w:val="en-US"/>
        </w:rPr>
      </w:pPr>
    </w:p>
    <w:p w14:paraId="525A0D52" w14:textId="63BDE8FD" w:rsidR="002224EB" w:rsidRDefault="002224EB" w:rsidP="005457CC">
      <w:pPr>
        <w:spacing w:line="480" w:lineRule="auto"/>
        <w:ind w:firstLine="720"/>
        <w:jc w:val="both"/>
        <w:rPr>
          <w:lang w:val="en-US"/>
        </w:rPr>
      </w:pPr>
    </w:p>
    <w:p w14:paraId="07A028D3" w14:textId="6C054B3A" w:rsidR="002224EB" w:rsidRDefault="002224EB" w:rsidP="002224EB">
      <w:pPr>
        <w:spacing w:line="480" w:lineRule="auto"/>
        <w:ind w:firstLine="720"/>
        <w:jc w:val="center"/>
        <w:rPr>
          <w:lang w:val="en-US"/>
        </w:rPr>
      </w:pPr>
      <w:r>
        <w:rPr>
          <w:lang w:val="en-US"/>
        </w:rPr>
        <w:lastRenderedPageBreak/>
        <w:t>References</w:t>
      </w:r>
    </w:p>
    <w:p w14:paraId="2EC3E122" w14:textId="76460B0C" w:rsidR="002224EB" w:rsidRPr="002224EB" w:rsidRDefault="002224EB" w:rsidP="002224EB">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2224EB">
        <w:rPr>
          <w:rFonts w:cs="Times New Roman"/>
          <w:noProof/>
          <w:szCs w:val="24"/>
        </w:rPr>
        <w:t xml:space="preserve">Combs, H. L., Berry, D. T. R., Pape, T., Babcock-Parziale, J., Smith, B. M., Schleenbaker, R., … High, W. M. (2015). The effects of mild traumatic brain injury, post-traumatic stress disorder, and combined mild traumatic brain injury/post-traumatic stress disorder on returning veterans. </w:t>
      </w:r>
      <w:r w:rsidRPr="002224EB">
        <w:rPr>
          <w:rFonts w:cs="Times New Roman"/>
          <w:i/>
          <w:iCs/>
          <w:noProof/>
          <w:szCs w:val="24"/>
        </w:rPr>
        <w:t>Journal of Neurotrauma</w:t>
      </w:r>
      <w:r w:rsidRPr="002224EB">
        <w:rPr>
          <w:rFonts w:cs="Times New Roman"/>
          <w:noProof/>
          <w:szCs w:val="24"/>
        </w:rPr>
        <w:t>. https://doi.org/http://dx.doi.org/10.1089/neu.2014.3585</w:t>
      </w:r>
    </w:p>
    <w:p w14:paraId="2BA09438" w14:textId="77777777" w:rsidR="002224EB" w:rsidRPr="002224EB" w:rsidRDefault="002224EB" w:rsidP="002224EB">
      <w:pPr>
        <w:widowControl w:val="0"/>
        <w:autoSpaceDE w:val="0"/>
        <w:autoSpaceDN w:val="0"/>
        <w:adjustRightInd w:val="0"/>
        <w:spacing w:line="480" w:lineRule="auto"/>
        <w:ind w:left="480" w:hanging="480"/>
        <w:rPr>
          <w:rFonts w:cs="Times New Roman"/>
          <w:noProof/>
          <w:szCs w:val="24"/>
        </w:rPr>
      </w:pPr>
      <w:r w:rsidRPr="002224EB">
        <w:rPr>
          <w:rFonts w:cs="Times New Roman"/>
          <w:noProof/>
          <w:szCs w:val="24"/>
        </w:rPr>
        <w:t xml:space="preserve">Cosden, M., Sanford, A., Koch, L. M., &amp; Lepore, C. E. (2016). Vicarious trauma and vicarious posttraumatic growth among substance abuse treatment providers. </w:t>
      </w:r>
      <w:r w:rsidRPr="002224EB">
        <w:rPr>
          <w:rFonts w:cs="Times New Roman"/>
          <w:i/>
          <w:iCs/>
          <w:noProof/>
          <w:szCs w:val="24"/>
        </w:rPr>
        <w:t>Substance Abuse</w:t>
      </w:r>
      <w:r w:rsidRPr="002224EB">
        <w:rPr>
          <w:rFonts w:cs="Times New Roman"/>
          <w:noProof/>
          <w:szCs w:val="24"/>
        </w:rPr>
        <w:t>. https://doi.org/10.1080/08897077.2016.1181695</w:t>
      </w:r>
    </w:p>
    <w:p w14:paraId="4A62EB08" w14:textId="77777777" w:rsidR="002224EB" w:rsidRPr="002224EB" w:rsidRDefault="002224EB" w:rsidP="002224EB">
      <w:pPr>
        <w:widowControl w:val="0"/>
        <w:autoSpaceDE w:val="0"/>
        <w:autoSpaceDN w:val="0"/>
        <w:adjustRightInd w:val="0"/>
        <w:spacing w:line="480" w:lineRule="auto"/>
        <w:ind w:left="480" w:hanging="480"/>
        <w:rPr>
          <w:rFonts w:cs="Times New Roman"/>
          <w:noProof/>
          <w:szCs w:val="24"/>
        </w:rPr>
      </w:pPr>
      <w:r w:rsidRPr="002224EB">
        <w:rPr>
          <w:rFonts w:cs="Times New Roman"/>
          <w:noProof/>
          <w:szCs w:val="24"/>
        </w:rPr>
        <w:t xml:space="preserve">Hyatt-Burkhart, D. (2014). The Experience of Vicarious Posttraumatic Growth in Mental Health Workers. </w:t>
      </w:r>
      <w:r w:rsidRPr="002224EB">
        <w:rPr>
          <w:rFonts w:cs="Times New Roman"/>
          <w:i/>
          <w:iCs/>
          <w:noProof/>
          <w:szCs w:val="24"/>
        </w:rPr>
        <w:t>Journal of Loss and Trauma</w:t>
      </w:r>
      <w:r w:rsidRPr="002224EB">
        <w:rPr>
          <w:rFonts w:cs="Times New Roman"/>
          <w:noProof/>
          <w:szCs w:val="24"/>
        </w:rPr>
        <w:t>. https://doi.org/10.1080/15325024.2013.797268</w:t>
      </w:r>
    </w:p>
    <w:p w14:paraId="4FDF5EB5" w14:textId="77777777" w:rsidR="002224EB" w:rsidRPr="002224EB" w:rsidRDefault="002224EB" w:rsidP="002224EB">
      <w:pPr>
        <w:widowControl w:val="0"/>
        <w:autoSpaceDE w:val="0"/>
        <w:autoSpaceDN w:val="0"/>
        <w:adjustRightInd w:val="0"/>
        <w:spacing w:line="480" w:lineRule="auto"/>
        <w:ind w:left="480" w:hanging="480"/>
        <w:rPr>
          <w:rFonts w:cs="Times New Roman"/>
          <w:noProof/>
        </w:rPr>
      </w:pPr>
      <w:r w:rsidRPr="002224EB">
        <w:rPr>
          <w:rFonts w:cs="Times New Roman"/>
          <w:noProof/>
          <w:szCs w:val="24"/>
        </w:rPr>
        <w:t xml:space="preserve">Tsai, J., El-Gabalawy, R., Sledge, W. H., Southwick, S. M., &amp; Pietrzak, R. H. (2015). Post-traumatic growth among veterans in the USA: Results from the National Health and Resilience in Veterans Study. </w:t>
      </w:r>
      <w:r w:rsidRPr="002224EB">
        <w:rPr>
          <w:rFonts w:cs="Times New Roman"/>
          <w:i/>
          <w:iCs/>
          <w:noProof/>
          <w:szCs w:val="24"/>
        </w:rPr>
        <w:t>Psychological Medicine</w:t>
      </w:r>
      <w:r w:rsidRPr="002224EB">
        <w:rPr>
          <w:rFonts w:cs="Times New Roman"/>
          <w:noProof/>
          <w:szCs w:val="24"/>
        </w:rPr>
        <w:t>. https://doi.org/10.1017/S0033291714001202</w:t>
      </w:r>
    </w:p>
    <w:p w14:paraId="4A3F2848" w14:textId="29712FDD" w:rsidR="002224EB" w:rsidRDefault="002224EB" w:rsidP="002224EB">
      <w:pPr>
        <w:spacing w:line="480" w:lineRule="auto"/>
        <w:jc w:val="both"/>
        <w:rPr>
          <w:lang w:val="en-US"/>
        </w:rPr>
      </w:pPr>
      <w:r>
        <w:rPr>
          <w:lang w:val="en-US"/>
        </w:rPr>
        <w:fldChar w:fldCharType="end"/>
      </w:r>
    </w:p>
    <w:p w14:paraId="0AD8CC50" w14:textId="3A22C75E" w:rsidR="0026657D" w:rsidRDefault="0026657D">
      <w:pPr>
        <w:rPr>
          <w:lang w:val="en-US"/>
        </w:rPr>
      </w:pPr>
    </w:p>
    <w:p w14:paraId="634744BA" w14:textId="77777777" w:rsidR="0026657D" w:rsidRDefault="0026657D">
      <w:pPr>
        <w:rPr>
          <w:lang w:val="en-US"/>
        </w:rPr>
      </w:pPr>
    </w:p>
    <w:p w14:paraId="3918F209" w14:textId="0D0A056F" w:rsidR="00032EE5" w:rsidRDefault="00032EE5">
      <w:pPr>
        <w:rPr>
          <w:lang w:val="en-US"/>
        </w:rPr>
      </w:pPr>
    </w:p>
    <w:p w14:paraId="547F35B6" w14:textId="77777777" w:rsidR="00032EE5" w:rsidRDefault="00032EE5">
      <w:pPr>
        <w:rPr>
          <w:lang w:val="en-US"/>
        </w:rPr>
      </w:pPr>
    </w:p>
    <w:p w14:paraId="3320868D" w14:textId="01D6907D" w:rsidR="00A40E06" w:rsidRDefault="00A40E06">
      <w:pPr>
        <w:rPr>
          <w:lang w:val="en-US"/>
        </w:rPr>
      </w:pPr>
    </w:p>
    <w:p w14:paraId="1F71C6E8" w14:textId="77777777" w:rsidR="00A40E06" w:rsidRDefault="00A40E06">
      <w:pPr>
        <w:rPr>
          <w:lang w:val="en-US"/>
        </w:rPr>
      </w:pPr>
    </w:p>
    <w:p w14:paraId="112DDD56" w14:textId="2790F227" w:rsidR="00A40E06" w:rsidRDefault="00A40E06">
      <w:pPr>
        <w:rPr>
          <w:lang w:val="en-US"/>
        </w:rPr>
      </w:pPr>
    </w:p>
    <w:p w14:paraId="7EA687B3" w14:textId="55B0CD72" w:rsidR="00A40E06" w:rsidRDefault="00A40E06">
      <w:pPr>
        <w:rPr>
          <w:lang w:val="en-US"/>
        </w:rPr>
      </w:pPr>
    </w:p>
    <w:p w14:paraId="7AC66C25" w14:textId="77777777" w:rsidR="00A40E06" w:rsidRPr="00A40E06" w:rsidRDefault="00A40E06">
      <w:pPr>
        <w:rPr>
          <w:lang w:val="en-US"/>
        </w:rPr>
      </w:pPr>
    </w:p>
    <w:sectPr w:rsidR="00A40E06" w:rsidRPr="00A40E06" w:rsidSect="005457CC">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47C64D" w14:textId="77777777" w:rsidR="00F8713E" w:rsidRDefault="00F8713E">
      <w:pPr>
        <w:spacing w:after="0" w:line="240" w:lineRule="auto"/>
      </w:pPr>
      <w:r>
        <w:separator/>
      </w:r>
    </w:p>
  </w:endnote>
  <w:endnote w:type="continuationSeparator" w:id="0">
    <w:p w14:paraId="547141B7" w14:textId="77777777" w:rsidR="00F8713E" w:rsidRDefault="00F87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D5E8E7" w14:textId="77777777" w:rsidR="00F8713E" w:rsidRDefault="00F8713E">
      <w:pPr>
        <w:spacing w:after="0" w:line="240" w:lineRule="auto"/>
      </w:pPr>
      <w:r>
        <w:separator/>
      </w:r>
    </w:p>
  </w:footnote>
  <w:footnote w:type="continuationSeparator" w:id="0">
    <w:p w14:paraId="73C14708" w14:textId="77777777" w:rsidR="00F8713E" w:rsidRDefault="00F871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3DEEA" w14:textId="492EDAE0" w:rsidR="005457CC" w:rsidRDefault="004B782B">
    <w:pPr>
      <w:pStyle w:val="Header"/>
      <w:jc w:val="right"/>
    </w:pPr>
    <w:r w:rsidRPr="005457CC">
      <w:rPr>
        <w:lang w:val="en-US"/>
      </w:rPr>
      <w:t xml:space="preserve">VICARIOUS TRAUMA AND POST TRAUMATIC DISORDER   </w:t>
    </w:r>
    <w:r>
      <w:rPr>
        <w:lang w:val="en-US"/>
      </w:rPr>
      <w:t xml:space="preserve">                                   </w:t>
    </w:r>
    <w:sdt>
      <w:sdtPr>
        <w:id w:val="-4379165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F995408" w14:textId="77777777" w:rsidR="005457CC" w:rsidRDefault="005457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55E17D" w14:textId="0E396C97" w:rsidR="005457CC" w:rsidRDefault="004B782B">
    <w:pPr>
      <w:pStyle w:val="Header"/>
      <w:jc w:val="right"/>
    </w:pPr>
    <w:r>
      <w:rPr>
        <w:lang w:val="en-US"/>
      </w:rPr>
      <w:t xml:space="preserve">Running head: VICARIOUS TRAUMA AND POST TRAUMATIC DISORDER               </w:t>
    </w:r>
    <w:sdt>
      <w:sdtPr>
        <w:id w:val="12375125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DBF3AD0" w14:textId="77777777" w:rsidR="005457CC" w:rsidRDefault="005457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EF49EF"/>
    <w:multiLevelType w:val="multilevel"/>
    <w:tmpl w:val="49164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BEILUyNLM2MzExMzQyUdpeDU4uLM/DyQAsNaACfmnB0sAAAA"/>
  </w:docVars>
  <w:rsids>
    <w:rsidRoot w:val="00A40E06"/>
    <w:rsid w:val="00032EE5"/>
    <w:rsid w:val="002224EB"/>
    <w:rsid w:val="0026657D"/>
    <w:rsid w:val="00355A01"/>
    <w:rsid w:val="004B782B"/>
    <w:rsid w:val="005457CC"/>
    <w:rsid w:val="00607A27"/>
    <w:rsid w:val="00850F71"/>
    <w:rsid w:val="00A40E06"/>
    <w:rsid w:val="00B423E7"/>
    <w:rsid w:val="00B910EF"/>
    <w:rsid w:val="00C27B62"/>
    <w:rsid w:val="00F8713E"/>
    <w:rsid w:val="00FB722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6C41DE"/>
  <w15:chartTrackingRefBased/>
  <w15:docId w15:val="{67086C5B-7912-4720-8691-FCCF7FF07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7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57CC"/>
  </w:style>
  <w:style w:type="paragraph" w:styleId="Footer">
    <w:name w:val="footer"/>
    <w:basedOn w:val="Normal"/>
    <w:link w:val="FooterChar"/>
    <w:uiPriority w:val="99"/>
    <w:unhideWhenUsed/>
    <w:rsid w:val="005457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5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75253-41C8-4F73-B8C0-06A3AAA8F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3133</Words>
  <Characters>17864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2019-09-05T03:42:00Z</dcterms:created>
  <dcterms:modified xsi:type="dcterms:W3CDTF">2019-09-05T03:42:00Z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